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1B" w:rsidRPr="0020772E" w:rsidRDefault="00EB071B" w:rsidP="00EB071B">
      <w:pPr>
        <w:pStyle w:val="rg"/>
        <w:spacing w:before="0" w:beforeAutospacing="0" w:after="0" w:afterAutospacing="0"/>
        <w:jc w:val="right"/>
        <w:rPr>
          <w:rFonts w:ascii="Times New Roman" w:hAnsi="Times New Roman"/>
          <w:lang w:val="ro-RO"/>
        </w:rPr>
      </w:pPr>
      <w:r w:rsidRPr="0020772E">
        <w:rPr>
          <w:rFonts w:ascii="Times New Roman" w:hAnsi="Times New Roman"/>
          <w:lang w:val="ro-RO"/>
        </w:rPr>
        <w:t>Anexa nr.22</w:t>
      </w:r>
    </w:p>
    <w:p w:rsidR="00EB071B" w:rsidRPr="0020772E" w:rsidRDefault="00EB071B" w:rsidP="00EB071B">
      <w:pPr>
        <w:jc w:val="right"/>
        <w:rPr>
          <w:lang w:val="ro-RO"/>
        </w:rPr>
      </w:pPr>
      <w:r w:rsidRPr="0020772E">
        <w:rPr>
          <w:lang w:val="ro-RO"/>
        </w:rPr>
        <w:t>la Instrucțiunea privind modul de întocmire și prezentare</w:t>
      </w:r>
    </w:p>
    <w:p w:rsidR="00EB071B" w:rsidRPr="0020772E" w:rsidRDefault="00EB071B" w:rsidP="00EB071B">
      <w:pPr>
        <w:jc w:val="right"/>
        <w:rPr>
          <w:lang w:val="ro-RO"/>
        </w:rPr>
      </w:pPr>
      <w:r w:rsidRPr="0020772E">
        <w:rPr>
          <w:lang w:val="ro-RO"/>
        </w:rPr>
        <w:t>de către bănci a rapoartelor în scopuri prudențiale</w:t>
      </w:r>
    </w:p>
    <w:p w:rsidR="00EB071B" w:rsidRPr="0020772E" w:rsidRDefault="00EB071B" w:rsidP="00EB071B">
      <w:pPr>
        <w:ind w:firstLine="567"/>
        <w:rPr>
          <w:lang w:val="ro-RO"/>
        </w:rPr>
      </w:pPr>
    </w:p>
    <w:tbl>
      <w:tblPr>
        <w:tblW w:w="4500" w:type="pct"/>
        <w:jc w:val="center"/>
        <w:tblCellMar>
          <w:top w:w="15" w:type="dxa"/>
          <w:left w:w="15" w:type="dxa"/>
          <w:bottom w:w="15" w:type="dxa"/>
          <w:right w:w="15" w:type="dxa"/>
        </w:tblCellMar>
        <w:tblLook w:val="04A0"/>
      </w:tblPr>
      <w:tblGrid>
        <w:gridCol w:w="1759"/>
        <w:gridCol w:w="6451"/>
      </w:tblGrid>
      <w:tr w:rsidR="00EB071B" w:rsidRPr="0020772E" w:rsidTr="00885007">
        <w:trPr>
          <w:trHeight w:val="101"/>
          <w:jc w:val="center"/>
        </w:trPr>
        <w:tc>
          <w:tcPr>
            <w:tcW w:w="105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B071B" w:rsidRPr="0020772E" w:rsidRDefault="00EB071B" w:rsidP="00885007">
            <w:pPr>
              <w:rPr>
                <w:sz w:val="22"/>
                <w:szCs w:val="22"/>
                <w:lang w:val="ro-RO"/>
              </w:rPr>
            </w:pPr>
            <w:r w:rsidRPr="0020772E">
              <w:rPr>
                <w:sz w:val="22"/>
                <w:szCs w:val="22"/>
                <w:lang w:val="ro-RO"/>
              </w:rPr>
              <w:t> </w:t>
            </w:r>
          </w:p>
        </w:tc>
        <w:tc>
          <w:tcPr>
            <w:tcW w:w="3850" w:type="pct"/>
            <w:tcBorders>
              <w:top w:val="nil"/>
              <w:left w:val="nil"/>
              <w:bottom w:val="nil"/>
              <w:right w:val="nil"/>
            </w:tcBorders>
            <w:tcMar>
              <w:top w:w="24" w:type="dxa"/>
              <w:left w:w="48" w:type="dxa"/>
              <w:bottom w:w="24" w:type="dxa"/>
              <w:right w:w="48" w:type="dxa"/>
            </w:tcMar>
            <w:hideMark/>
          </w:tcPr>
          <w:p w:rsidR="00EB071B" w:rsidRPr="0020772E" w:rsidRDefault="00EB071B" w:rsidP="00885007">
            <w:pPr>
              <w:jc w:val="right"/>
              <w:rPr>
                <w:sz w:val="22"/>
                <w:szCs w:val="22"/>
                <w:lang w:val="ro-RO"/>
              </w:rPr>
            </w:pPr>
            <w:r w:rsidRPr="0020772E">
              <w:rPr>
                <w:b/>
                <w:bCs/>
                <w:sz w:val="22"/>
                <w:szCs w:val="22"/>
                <w:lang w:val="ro-RO"/>
              </w:rPr>
              <w:t>ORD 0323</w:t>
            </w:r>
          </w:p>
        </w:tc>
      </w:tr>
      <w:tr w:rsidR="00EB071B" w:rsidRPr="0020772E" w:rsidTr="00885007">
        <w:trPr>
          <w:jc w:val="center"/>
        </w:trPr>
        <w:tc>
          <w:tcPr>
            <w:tcW w:w="1050" w:type="pct"/>
            <w:tcBorders>
              <w:top w:val="nil"/>
              <w:left w:val="nil"/>
              <w:bottom w:val="nil"/>
              <w:right w:val="nil"/>
            </w:tcBorders>
            <w:tcMar>
              <w:top w:w="24" w:type="dxa"/>
              <w:left w:w="48" w:type="dxa"/>
              <w:bottom w:w="24" w:type="dxa"/>
              <w:right w:w="48" w:type="dxa"/>
            </w:tcMar>
            <w:hideMark/>
          </w:tcPr>
          <w:p w:rsidR="00EB071B" w:rsidRPr="0020772E" w:rsidRDefault="00EB071B" w:rsidP="00885007">
            <w:pPr>
              <w:jc w:val="center"/>
              <w:rPr>
                <w:sz w:val="22"/>
                <w:szCs w:val="22"/>
                <w:lang w:val="ro-RO"/>
              </w:rPr>
            </w:pPr>
            <w:r w:rsidRPr="0020772E">
              <w:rPr>
                <w:sz w:val="22"/>
                <w:szCs w:val="22"/>
                <w:lang w:val="ro-RO"/>
              </w:rPr>
              <w:t>codul băncii</w:t>
            </w:r>
          </w:p>
        </w:tc>
        <w:tc>
          <w:tcPr>
            <w:tcW w:w="3850" w:type="pct"/>
            <w:tcBorders>
              <w:top w:val="nil"/>
              <w:left w:val="nil"/>
              <w:bottom w:val="nil"/>
              <w:right w:val="nil"/>
            </w:tcBorders>
            <w:tcMar>
              <w:top w:w="24" w:type="dxa"/>
              <w:left w:w="48" w:type="dxa"/>
              <w:bottom w:w="24" w:type="dxa"/>
              <w:right w:w="48" w:type="dxa"/>
            </w:tcMar>
            <w:hideMark/>
          </w:tcPr>
          <w:p w:rsidR="00EB071B" w:rsidRPr="0020772E" w:rsidRDefault="00EB071B" w:rsidP="00885007">
            <w:pPr>
              <w:jc w:val="right"/>
              <w:rPr>
                <w:sz w:val="22"/>
                <w:szCs w:val="22"/>
                <w:lang w:val="ro-RO"/>
              </w:rPr>
            </w:pPr>
            <w:r w:rsidRPr="0020772E">
              <w:rPr>
                <w:sz w:val="22"/>
                <w:szCs w:val="22"/>
                <w:lang w:val="ro-RO"/>
              </w:rPr>
              <w:t>Codul formularului</w:t>
            </w:r>
          </w:p>
        </w:tc>
      </w:tr>
    </w:tbl>
    <w:p w:rsidR="00EB071B" w:rsidRPr="0020772E" w:rsidRDefault="00EB071B" w:rsidP="00EB071B">
      <w:pPr>
        <w:ind w:firstLine="567"/>
        <w:rPr>
          <w:sz w:val="22"/>
          <w:szCs w:val="22"/>
          <w:lang w:val="ro-RO"/>
        </w:rPr>
      </w:pPr>
    </w:p>
    <w:p w:rsidR="00EB071B" w:rsidRPr="0020772E" w:rsidRDefault="00EB071B" w:rsidP="00EB071B">
      <w:pPr>
        <w:jc w:val="center"/>
        <w:rPr>
          <w:b/>
          <w:bCs/>
          <w:sz w:val="22"/>
          <w:szCs w:val="22"/>
          <w:lang w:val="ro-RO"/>
        </w:rPr>
      </w:pPr>
      <w:r w:rsidRPr="0020772E">
        <w:rPr>
          <w:b/>
          <w:bCs/>
          <w:sz w:val="22"/>
          <w:szCs w:val="22"/>
          <w:lang w:val="ro-RO"/>
        </w:rPr>
        <w:t>ORD 3.23 Situația zilnică a soldurilor conturilor sintetice</w:t>
      </w:r>
    </w:p>
    <w:p w:rsidR="00EB071B" w:rsidRPr="0020772E" w:rsidRDefault="00EB071B" w:rsidP="00EB071B">
      <w:pPr>
        <w:jc w:val="center"/>
        <w:rPr>
          <w:sz w:val="22"/>
          <w:szCs w:val="22"/>
          <w:lang w:val="ro-RO"/>
        </w:rPr>
      </w:pPr>
      <w:r w:rsidRPr="0020772E">
        <w:rPr>
          <w:sz w:val="22"/>
          <w:szCs w:val="22"/>
          <w:lang w:val="ro-RO"/>
        </w:rPr>
        <w:t>la situația din ______________ 20__</w:t>
      </w:r>
    </w:p>
    <w:p w:rsidR="00EB071B" w:rsidRPr="0020772E" w:rsidRDefault="00EB071B" w:rsidP="00EB071B">
      <w:pPr>
        <w:jc w:val="center"/>
        <w:rPr>
          <w:sz w:val="22"/>
          <w:szCs w:val="22"/>
          <w:lang w:val="ro-RO"/>
        </w:rPr>
      </w:pPr>
      <w:r w:rsidRPr="0020772E">
        <w:rPr>
          <w:sz w:val="22"/>
          <w:szCs w:val="22"/>
          <w:lang w:val="ro-RO"/>
        </w:rPr>
        <w:t xml:space="preserve">                                                                                                                                                    (001-lei)</w:t>
      </w:r>
    </w:p>
    <w:tbl>
      <w:tblPr>
        <w:tblW w:w="4500" w:type="pct"/>
        <w:jc w:val="center"/>
        <w:tblCellMar>
          <w:top w:w="15" w:type="dxa"/>
          <w:left w:w="15" w:type="dxa"/>
          <w:bottom w:w="15" w:type="dxa"/>
          <w:right w:w="15" w:type="dxa"/>
        </w:tblCellMar>
        <w:tblLook w:val="04A0"/>
      </w:tblPr>
      <w:tblGrid>
        <w:gridCol w:w="995"/>
        <w:gridCol w:w="744"/>
        <w:gridCol w:w="4980"/>
        <w:gridCol w:w="1491"/>
      </w:tblGrid>
      <w:tr w:rsidR="00EB071B" w:rsidRPr="0020772E" w:rsidTr="00885007">
        <w:trPr>
          <w:jc w:val="center"/>
        </w:trPr>
        <w:tc>
          <w:tcPr>
            <w:tcW w:w="558" w:type="pct"/>
            <w:tcBorders>
              <w:top w:val="single" w:sz="6" w:space="0" w:color="000000"/>
              <w:left w:val="single" w:sz="6" w:space="0" w:color="000000"/>
              <w:bottom w:val="single" w:sz="6" w:space="0" w:color="000000"/>
              <w:right w:val="single" w:sz="6" w:space="0" w:color="000000"/>
            </w:tcBorders>
            <w:shd w:val="clear" w:color="auto" w:fill="auto"/>
            <w:noWrap/>
            <w:tcMar>
              <w:top w:w="24" w:type="dxa"/>
              <w:left w:w="48" w:type="dxa"/>
              <w:bottom w:w="24" w:type="dxa"/>
              <w:right w:w="48" w:type="dxa"/>
            </w:tcMar>
            <w:hideMark/>
          </w:tcPr>
          <w:p w:rsidR="00EB071B" w:rsidRPr="0020772E" w:rsidRDefault="00EB071B" w:rsidP="00885007">
            <w:pPr>
              <w:jc w:val="center"/>
              <w:rPr>
                <w:sz w:val="22"/>
                <w:szCs w:val="22"/>
                <w:lang w:val="ro-RO"/>
              </w:rPr>
            </w:pPr>
            <w:r w:rsidRPr="0020772E">
              <w:rPr>
                <w:b/>
                <w:bCs/>
                <w:sz w:val="22"/>
                <w:szCs w:val="22"/>
                <w:lang w:val="ro-RO"/>
              </w:rPr>
              <w:t>Grupa de</w:t>
            </w:r>
            <w:r w:rsidRPr="0020772E">
              <w:rPr>
                <w:b/>
                <w:bCs/>
                <w:sz w:val="22"/>
                <w:szCs w:val="22"/>
                <w:lang w:val="ro-RO"/>
              </w:rPr>
              <w:br/>
              <w:t>conturi</w:t>
            </w:r>
          </w:p>
        </w:tc>
        <w:tc>
          <w:tcPr>
            <w:tcW w:w="41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EB071B" w:rsidRPr="0020772E" w:rsidRDefault="00EB071B" w:rsidP="00885007">
            <w:pPr>
              <w:jc w:val="center"/>
              <w:rPr>
                <w:sz w:val="22"/>
                <w:szCs w:val="22"/>
                <w:lang w:val="ro-RO"/>
              </w:rPr>
            </w:pPr>
            <w:r w:rsidRPr="0020772E">
              <w:rPr>
                <w:b/>
                <w:bCs/>
                <w:sz w:val="22"/>
                <w:szCs w:val="22"/>
                <w:lang w:val="ro-RO"/>
              </w:rPr>
              <w:t>Contul</w:t>
            </w:r>
          </w:p>
        </w:tc>
        <w:tc>
          <w:tcPr>
            <w:tcW w:w="307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vAlign w:val="center"/>
            <w:hideMark/>
          </w:tcPr>
          <w:p w:rsidR="00EB071B" w:rsidRPr="0020772E" w:rsidRDefault="00EB071B" w:rsidP="00885007">
            <w:pPr>
              <w:jc w:val="center"/>
              <w:rPr>
                <w:b/>
                <w:bCs/>
                <w:sz w:val="22"/>
                <w:szCs w:val="22"/>
                <w:lang w:val="ro-RO"/>
              </w:rPr>
            </w:pPr>
            <w:r w:rsidRPr="0020772E">
              <w:rPr>
                <w:b/>
                <w:bCs/>
                <w:sz w:val="22"/>
                <w:szCs w:val="22"/>
                <w:lang w:val="ro-RO"/>
              </w:rPr>
              <w:t>Denumirea grupei de conturi/contului</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EB071B" w:rsidRPr="0020772E" w:rsidRDefault="00EB071B" w:rsidP="00885007">
            <w:pPr>
              <w:jc w:val="center"/>
              <w:rPr>
                <w:b/>
                <w:bCs/>
                <w:sz w:val="22"/>
                <w:szCs w:val="22"/>
                <w:lang w:val="ro-RO"/>
              </w:rPr>
            </w:pPr>
            <w:r w:rsidRPr="0020772E">
              <w:rPr>
                <w:b/>
                <w:bCs/>
                <w:sz w:val="22"/>
                <w:szCs w:val="22"/>
                <w:lang w:val="ro-RO"/>
              </w:rPr>
              <w:t>Sold final</w:t>
            </w:r>
          </w:p>
        </w:tc>
      </w:tr>
      <w:tr w:rsidR="00EB071B" w:rsidRPr="0020772E" w:rsidTr="00885007">
        <w:trPr>
          <w:jc w:val="center"/>
        </w:trPr>
        <w:tc>
          <w:tcPr>
            <w:tcW w:w="558"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EB071B" w:rsidRPr="0020772E" w:rsidRDefault="00EB071B" w:rsidP="00885007">
            <w:pPr>
              <w:jc w:val="center"/>
              <w:rPr>
                <w:sz w:val="22"/>
                <w:szCs w:val="22"/>
                <w:lang w:val="ro-RO"/>
              </w:rPr>
            </w:pPr>
            <w:r w:rsidRPr="0020772E">
              <w:rPr>
                <w:b/>
                <w:bCs/>
                <w:sz w:val="22"/>
                <w:szCs w:val="22"/>
                <w:lang w:val="ro-RO"/>
              </w:rPr>
              <w:t>A</w:t>
            </w:r>
          </w:p>
        </w:tc>
        <w:tc>
          <w:tcPr>
            <w:tcW w:w="41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EB071B" w:rsidRPr="0020772E" w:rsidRDefault="00EB071B" w:rsidP="00885007">
            <w:pPr>
              <w:jc w:val="center"/>
              <w:rPr>
                <w:sz w:val="22"/>
                <w:szCs w:val="22"/>
                <w:lang w:val="ro-RO"/>
              </w:rPr>
            </w:pPr>
            <w:r w:rsidRPr="0020772E">
              <w:rPr>
                <w:b/>
                <w:bCs/>
                <w:sz w:val="22"/>
                <w:szCs w:val="22"/>
                <w:lang w:val="ro-RO"/>
              </w:rPr>
              <w:t>B</w:t>
            </w:r>
          </w:p>
        </w:tc>
        <w:tc>
          <w:tcPr>
            <w:tcW w:w="307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EB071B" w:rsidRPr="0020772E" w:rsidRDefault="00EB071B" w:rsidP="00885007">
            <w:pPr>
              <w:jc w:val="center"/>
              <w:rPr>
                <w:b/>
                <w:bCs/>
                <w:sz w:val="22"/>
                <w:szCs w:val="22"/>
                <w:lang w:val="ro-RO"/>
              </w:rPr>
            </w:pPr>
            <w:r w:rsidRPr="0020772E">
              <w:rPr>
                <w:b/>
                <w:bCs/>
                <w:sz w:val="22"/>
                <w:szCs w:val="22"/>
                <w:lang w:val="ro-RO"/>
              </w:rPr>
              <w:t>C</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EB071B" w:rsidRPr="0020772E" w:rsidRDefault="00EB071B" w:rsidP="00885007">
            <w:pPr>
              <w:jc w:val="center"/>
              <w:rPr>
                <w:b/>
                <w:bCs/>
                <w:sz w:val="22"/>
                <w:szCs w:val="22"/>
                <w:lang w:val="ro-RO"/>
              </w:rPr>
            </w:pPr>
            <w:r w:rsidRPr="0020772E">
              <w:rPr>
                <w:b/>
                <w:bCs/>
                <w:sz w:val="22"/>
                <w:szCs w:val="22"/>
                <w:lang w:val="ro-RO"/>
              </w:rPr>
              <w:t>1</w:t>
            </w:r>
          </w:p>
        </w:tc>
      </w:tr>
      <w:tr w:rsidR="00EB071B" w:rsidRPr="0020772E" w:rsidTr="00885007">
        <w:trPr>
          <w:jc w:val="center"/>
        </w:trPr>
        <w:tc>
          <w:tcPr>
            <w:tcW w:w="558"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EB071B" w:rsidRPr="0020772E" w:rsidRDefault="00EB071B" w:rsidP="00885007">
            <w:pPr>
              <w:jc w:val="center"/>
              <w:rPr>
                <w:b/>
                <w:bCs/>
                <w:sz w:val="22"/>
                <w:szCs w:val="22"/>
                <w:lang w:val="ro-RO"/>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EB071B" w:rsidRPr="0020772E" w:rsidRDefault="00EB071B" w:rsidP="00885007">
            <w:pPr>
              <w:jc w:val="center"/>
              <w:rPr>
                <w:b/>
                <w:bCs/>
                <w:sz w:val="22"/>
                <w:szCs w:val="22"/>
                <w:lang w:val="ro-RO"/>
              </w:rPr>
            </w:pPr>
          </w:p>
        </w:tc>
        <w:tc>
          <w:tcPr>
            <w:tcW w:w="307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EB071B" w:rsidRPr="0020772E" w:rsidRDefault="00EB071B" w:rsidP="00885007">
            <w:pPr>
              <w:jc w:val="center"/>
              <w:rPr>
                <w:b/>
                <w:bCs/>
                <w:sz w:val="22"/>
                <w:szCs w:val="22"/>
                <w:lang w:val="ro-RO"/>
              </w:rPr>
            </w:pP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EB071B" w:rsidRPr="0020772E" w:rsidRDefault="00EB071B" w:rsidP="00885007">
            <w:pPr>
              <w:jc w:val="center"/>
              <w:rPr>
                <w:b/>
                <w:bCs/>
                <w:sz w:val="22"/>
                <w:szCs w:val="22"/>
                <w:lang w:val="ro-RO"/>
              </w:rPr>
            </w:pPr>
          </w:p>
        </w:tc>
      </w:tr>
    </w:tbl>
    <w:p w:rsidR="00EB071B" w:rsidRPr="0020772E" w:rsidRDefault="00EB071B" w:rsidP="00EB071B">
      <w:pPr>
        <w:pStyle w:val="ListParagraph"/>
        <w:ind w:left="0" w:firstLine="567"/>
        <w:rPr>
          <w:lang w:val="ro-RO"/>
        </w:rPr>
      </w:pPr>
    </w:p>
    <w:p w:rsidR="00EB071B" w:rsidRPr="0020772E" w:rsidRDefault="00EB071B" w:rsidP="00EB071B">
      <w:pPr>
        <w:pStyle w:val="ListParagraph"/>
        <w:ind w:left="0" w:firstLine="567"/>
        <w:rPr>
          <w:sz w:val="22"/>
          <w:szCs w:val="22"/>
          <w:lang w:val="ro-RO"/>
        </w:rPr>
      </w:pPr>
      <w:r w:rsidRPr="0020772E">
        <w:rPr>
          <w:sz w:val="22"/>
          <w:szCs w:val="22"/>
          <w:lang w:val="ro-RO"/>
        </w:rPr>
        <w:t>Executorul și numărul de telefon ______________</w:t>
      </w:r>
    </w:p>
    <w:p w:rsidR="00EB071B" w:rsidRPr="0020772E" w:rsidRDefault="00EB071B" w:rsidP="00EB071B">
      <w:pPr>
        <w:pStyle w:val="ListParagraph"/>
        <w:ind w:left="0" w:firstLine="567"/>
        <w:rPr>
          <w:lang w:val="ro-RO"/>
        </w:rPr>
      </w:pPr>
    </w:p>
    <w:p w:rsidR="00EB071B" w:rsidRDefault="00EB071B">
      <w:pPr>
        <w:spacing w:after="200" w:line="276" w:lineRule="auto"/>
        <w:rPr>
          <w:lang w:val="ro-RO"/>
        </w:rPr>
      </w:pPr>
      <w:r>
        <w:rPr>
          <w:lang w:val="ro-RO"/>
        </w:rPr>
        <w:br w:type="page"/>
      </w:r>
    </w:p>
    <w:p w:rsidR="00EB071B" w:rsidRPr="0020772E" w:rsidRDefault="00EB071B" w:rsidP="00EB071B">
      <w:pPr>
        <w:pStyle w:val="ListParagraph"/>
        <w:ind w:left="0" w:firstLine="567"/>
        <w:rPr>
          <w:lang w:val="ro-RO"/>
        </w:rPr>
      </w:pPr>
    </w:p>
    <w:p w:rsidR="00EB071B" w:rsidRPr="0020772E" w:rsidRDefault="00EB071B" w:rsidP="00EB071B">
      <w:pPr>
        <w:pStyle w:val="ListParagraph"/>
        <w:ind w:left="0"/>
        <w:jc w:val="center"/>
        <w:rPr>
          <w:b/>
          <w:lang w:val="ro-RO"/>
        </w:rPr>
      </w:pPr>
      <w:r w:rsidRPr="0020772E">
        <w:rPr>
          <w:b/>
          <w:lang w:val="ro-RO"/>
        </w:rPr>
        <w:t>Modul de întocmire</w:t>
      </w:r>
      <w:r>
        <w:rPr>
          <w:b/>
          <w:lang w:val="ro-RO"/>
        </w:rPr>
        <w:br/>
      </w:r>
      <w:r w:rsidRPr="0020772E">
        <w:rPr>
          <w:b/>
          <w:lang w:val="ro-RO"/>
        </w:rPr>
        <w:t>a raportului „Situația zilnică a soldurilor conturilor sintetice”</w:t>
      </w:r>
    </w:p>
    <w:p w:rsidR="00EB071B" w:rsidRPr="00963460" w:rsidRDefault="00EB071B" w:rsidP="00EB071B">
      <w:pPr>
        <w:pStyle w:val="ListParagraph"/>
        <w:tabs>
          <w:tab w:val="left" w:pos="1134"/>
        </w:tabs>
        <w:ind w:left="0" w:firstLine="720"/>
        <w:jc w:val="both"/>
        <w:rPr>
          <w:lang w:val="ro-RO"/>
        </w:rPr>
      </w:pPr>
      <w:r w:rsidRPr="00963460">
        <w:rPr>
          <w:b/>
          <w:lang w:val="ro-RO"/>
        </w:rPr>
        <w:t>1.</w:t>
      </w:r>
      <w:r w:rsidRPr="00963460">
        <w:rPr>
          <w:lang w:val="ro-RO"/>
        </w:rPr>
        <w:t xml:space="preserve"> În prezentul raport se reflectă informația cu privire la situația zilnică a soldurilor conturilor sintetice ale băncii, întocmită în conformitate cu Planul de conturi al evidenței contabile în băncile licențiate din Republica Moldova, conform datelor la sfârșitul zilei operaționale a perioadei de raportare.</w:t>
      </w:r>
    </w:p>
    <w:p w:rsidR="00EB071B" w:rsidRPr="00963460" w:rsidRDefault="00EB071B" w:rsidP="00EB071B">
      <w:pPr>
        <w:pStyle w:val="ListParagraph"/>
        <w:tabs>
          <w:tab w:val="left" w:pos="1134"/>
        </w:tabs>
        <w:ind w:left="0" w:firstLine="720"/>
        <w:jc w:val="both"/>
        <w:rPr>
          <w:lang w:val="ro-RO"/>
        </w:rPr>
      </w:pPr>
      <w:r w:rsidRPr="00963460">
        <w:rPr>
          <w:b/>
          <w:lang w:val="ro-RO"/>
        </w:rPr>
        <w:t>2.</w:t>
      </w:r>
      <w:r w:rsidRPr="00963460">
        <w:rPr>
          <w:lang w:val="ro-RO"/>
        </w:rPr>
        <w:t xml:space="preserve"> Prezentul raport are o structură similară cu Planul de conturi al evidenței contabile în băncile licențiate din Republica Moldova. În raport se vor include toate clasele, grupele de conturi și conturile, după cum acestea sunt prevăzute în capitolul II, Nomenclatorul conturilor contabile, din Planul de conturi al evidenței contabile în băncile licențiate din Republica Moldova, inclusiv cele cu soldul 0.</w:t>
      </w:r>
    </w:p>
    <w:p w:rsidR="00EB071B" w:rsidRPr="00963460" w:rsidRDefault="00EB071B" w:rsidP="00EB071B">
      <w:pPr>
        <w:pStyle w:val="ListParagraph"/>
        <w:tabs>
          <w:tab w:val="left" w:pos="1134"/>
        </w:tabs>
        <w:ind w:left="0" w:firstLine="720"/>
        <w:jc w:val="both"/>
        <w:rPr>
          <w:lang w:val="ro-RO"/>
        </w:rPr>
      </w:pPr>
      <w:r w:rsidRPr="00963460">
        <w:rPr>
          <w:b/>
          <w:lang w:val="ro-RO"/>
        </w:rPr>
        <w:t>3.</w:t>
      </w:r>
      <w:r w:rsidRPr="00963460">
        <w:rPr>
          <w:lang w:val="ro-RO"/>
        </w:rPr>
        <w:t xml:space="preserve"> În coloanele A, B și C se va reflecta codul grupei, contul și, respectiv, denumirea grupei sau contului. Codul și denumirea grupei de conturi se va indica în raport o singură dată.</w:t>
      </w:r>
    </w:p>
    <w:p w:rsidR="00EB071B" w:rsidRPr="00963460" w:rsidRDefault="00EB071B" w:rsidP="00EB071B">
      <w:pPr>
        <w:pStyle w:val="ListParagraph"/>
        <w:tabs>
          <w:tab w:val="left" w:pos="1134"/>
        </w:tabs>
        <w:ind w:left="0" w:firstLine="720"/>
        <w:jc w:val="both"/>
        <w:rPr>
          <w:lang w:val="ro-RO"/>
        </w:rPr>
      </w:pPr>
      <w:r w:rsidRPr="00963460">
        <w:rPr>
          <w:b/>
          <w:lang w:val="ro-RO"/>
        </w:rPr>
        <w:t>4.</w:t>
      </w:r>
      <w:r w:rsidRPr="00963460">
        <w:rPr>
          <w:lang w:val="ro-RO"/>
        </w:rPr>
        <w:t xml:space="preserve"> Pentru conturi și contra-conturi în coloana 1 „Sold final” se reflectă soldul conturilor/contra-conturilor corespunzătoare la sfârșitul zilei operaționale a perioadei de raportare, inclusiv soldurile egale cu „0”. Toate soldurile se vor reflecta cu semnul ”+”, cu excepția următoarelor cazuri:</w:t>
      </w:r>
    </w:p>
    <w:p w:rsidR="00EB071B" w:rsidRPr="00963460" w:rsidRDefault="00EB071B" w:rsidP="00EB071B">
      <w:pPr>
        <w:pStyle w:val="ListParagraph"/>
        <w:tabs>
          <w:tab w:val="left" w:pos="1134"/>
        </w:tabs>
        <w:ind w:left="0" w:firstLine="720"/>
        <w:jc w:val="both"/>
        <w:rPr>
          <w:lang w:val="ro-RO"/>
        </w:rPr>
      </w:pPr>
      <w:r w:rsidRPr="00963460">
        <w:rPr>
          <w:lang w:val="ro-RO"/>
        </w:rPr>
        <w:t>a) pentru contra-conturile din Clasa 1, soldurile debitoare se vor reflecta cu semnul „-”.</w:t>
      </w:r>
    </w:p>
    <w:p w:rsidR="00EB071B" w:rsidRPr="00963460" w:rsidRDefault="00EB071B" w:rsidP="00EB071B">
      <w:pPr>
        <w:pStyle w:val="ListParagraph"/>
        <w:tabs>
          <w:tab w:val="left" w:pos="1134"/>
        </w:tabs>
        <w:ind w:left="0" w:firstLine="720"/>
        <w:jc w:val="both"/>
        <w:rPr>
          <w:lang w:val="ro-RO"/>
        </w:rPr>
      </w:pPr>
      <w:r w:rsidRPr="00963460">
        <w:rPr>
          <w:lang w:val="ro-RO"/>
        </w:rPr>
        <w:t>b) pentru contra-conturile din Clasele 2 și 3, soldurile creditoare se vor reflecta cu semnul „-”.</w:t>
      </w:r>
    </w:p>
    <w:p w:rsidR="00EB071B" w:rsidRPr="00963460" w:rsidRDefault="00EB071B" w:rsidP="00EB071B">
      <w:pPr>
        <w:pStyle w:val="ListParagraph"/>
        <w:tabs>
          <w:tab w:val="left" w:pos="1134"/>
        </w:tabs>
        <w:ind w:left="0" w:firstLine="720"/>
        <w:jc w:val="both"/>
        <w:rPr>
          <w:lang w:val="ro-RO"/>
        </w:rPr>
      </w:pPr>
      <w:r w:rsidRPr="00963460">
        <w:rPr>
          <w:lang w:val="ro-RO"/>
        </w:rPr>
        <w:t>c) pentru conturile din grupa de conturi 1870, soldurile creditoare se vor reflecta cu semnul „-”.</w:t>
      </w:r>
    </w:p>
    <w:p w:rsidR="00EB071B" w:rsidRPr="00963460" w:rsidRDefault="00EB071B" w:rsidP="00EB071B">
      <w:pPr>
        <w:pStyle w:val="ListParagraph"/>
        <w:tabs>
          <w:tab w:val="left" w:pos="1134"/>
        </w:tabs>
        <w:ind w:left="0" w:firstLine="720"/>
        <w:jc w:val="both"/>
        <w:rPr>
          <w:lang w:val="ro-RO"/>
        </w:rPr>
      </w:pPr>
      <w:r w:rsidRPr="00963460">
        <w:rPr>
          <w:lang w:val="ro-RO"/>
        </w:rPr>
        <w:t>d) pentru conturile din grupa de conturi 2870, 4650 și 4660, soldurile debitoare se vor reflecta cu semnul „-”.</w:t>
      </w:r>
    </w:p>
    <w:p w:rsidR="00EB071B" w:rsidRPr="00963460" w:rsidRDefault="00EB071B" w:rsidP="00EB071B">
      <w:pPr>
        <w:pStyle w:val="ListParagraph"/>
        <w:tabs>
          <w:tab w:val="left" w:pos="1134"/>
        </w:tabs>
        <w:ind w:left="0" w:firstLine="720"/>
        <w:jc w:val="both"/>
        <w:rPr>
          <w:lang w:val="ro-RO"/>
        </w:rPr>
      </w:pPr>
      <w:r w:rsidRPr="00963460">
        <w:rPr>
          <w:b/>
          <w:lang w:val="ro-RO"/>
        </w:rPr>
        <w:t>5.</w:t>
      </w:r>
      <w:r w:rsidRPr="00963460">
        <w:rPr>
          <w:lang w:val="ro-RO"/>
        </w:rPr>
        <w:t xml:space="preserve"> Pentru rândurile ce reflectă numărul și denumirea grupelor de conturi, în coloana 1 ”Sold final” se va reflecta suma soldurilor conturilor componente minus soldurile contra-conturilor.</w:t>
      </w:r>
    </w:p>
    <w:p w:rsidR="00EB071B" w:rsidRPr="00963460" w:rsidRDefault="00EB071B" w:rsidP="00EB071B">
      <w:pPr>
        <w:pStyle w:val="ListParagraph"/>
        <w:tabs>
          <w:tab w:val="left" w:pos="1134"/>
        </w:tabs>
        <w:ind w:left="0" w:firstLine="720"/>
        <w:jc w:val="both"/>
        <w:rPr>
          <w:lang w:val="ro-RO"/>
        </w:rPr>
      </w:pPr>
      <w:r w:rsidRPr="00963460">
        <w:rPr>
          <w:b/>
          <w:lang w:val="ro-RO"/>
        </w:rPr>
        <w:t>6.</w:t>
      </w:r>
      <w:r w:rsidRPr="00963460">
        <w:rPr>
          <w:lang w:val="ro-RO"/>
        </w:rPr>
        <w:t xml:space="preserve"> Pentru rândurile ce reflectă numărul și denumirea grupelor de contra-conturi, în coloana 1 ”Sold final” se va reflecta suma contra-conturilor componente.</w:t>
      </w:r>
    </w:p>
    <w:p w:rsidR="00EB071B" w:rsidRPr="00963460" w:rsidRDefault="00EB071B" w:rsidP="00EB071B">
      <w:pPr>
        <w:pStyle w:val="ListParagraph"/>
        <w:tabs>
          <w:tab w:val="left" w:pos="1134"/>
        </w:tabs>
        <w:ind w:left="0" w:firstLine="720"/>
        <w:jc w:val="both"/>
        <w:rPr>
          <w:lang w:val="ro-RO"/>
        </w:rPr>
      </w:pPr>
      <w:r w:rsidRPr="00963460">
        <w:rPr>
          <w:b/>
          <w:lang w:val="ro-RO"/>
        </w:rPr>
        <w:t>7.</w:t>
      </w:r>
      <w:r w:rsidRPr="00963460">
        <w:rPr>
          <w:lang w:val="ro-RO"/>
        </w:rPr>
        <w:t xml:space="preserve"> Pentru rândurile ce reflectă clasele de conturi, în coloana 1 ”Sold final” se va reflecta suma soldurilor grupelor de conturi componente ale clasei respective minus soldurile grupelor de contra-conturi. Excepție sunt rândurile ce reflectă Clasa 6 și Clasa 7 – pentru care în coloana 1 nu se va indica nimic. În cazul Clasei 6 se vor însuma separat soldurile conturilor condiționale de debit și ale conturilor condiționale de credit în rândurile corespunzătoare.</w:t>
      </w:r>
    </w:p>
    <w:p w:rsidR="00CC4C6D" w:rsidRDefault="00EB071B" w:rsidP="00EB071B">
      <w:r w:rsidRPr="00963460">
        <w:rPr>
          <w:b/>
          <w:lang w:val="ro-RO"/>
        </w:rPr>
        <w:t>8.</w:t>
      </w:r>
      <w:r w:rsidRPr="00963460">
        <w:rPr>
          <w:lang w:val="ro-RO"/>
        </w:rPr>
        <w:t xml:space="preserve"> Periodicitatea prezentării raportului – zilnic, nu mai târziu de ora 13.00 a următoarei zile lucrătoare după perioada de raportare.</w:t>
      </w:r>
    </w:p>
    <w:sectPr w:rsidR="00CC4C6D" w:rsidSect="00CC4C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mianSerifTypeface">
    <w:panose1 w:val="00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B071B"/>
    <w:rsid w:val="00CC4C6D"/>
    <w:rsid w:val="00EB07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71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71B"/>
    <w:pPr>
      <w:ind w:left="720"/>
    </w:pPr>
  </w:style>
  <w:style w:type="paragraph" w:customStyle="1" w:styleId="rg">
    <w:name w:val="rg"/>
    <w:basedOn w:val="Normal"/>
    <w:rsid w:val="00EB071B"/>
    <w:pPr>
      <w:spacing w:before="100" w:beforeAutospacing="1" w:after="100" w:afterAutospacing="1"/>
    </w:pPr>
    <w:rPr>
      <w:rFonts w:ascii="PermianSerifTypeface" w:hAnsi="PermianSerifTypefac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2018-05-22T10:30:00Z</dcterms:created>
  <dcterms:modified xsi:type="dcterms:W3CDTF">2018-05-22T10:30:00Z</dcterms:modified>
</cp:coreProperties>
</file>